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Tretekstu"/>
        <w:spacing w:lineRule="auto" w:line="312" w:before="0" w:after="57"/>
        <w:rPr>
          <w:sz w:val="18"/>
          <w:szCs w:val="18"/>
        </w:rPr>
      </w:pPr>
      <w:r>
        <w:rPr>
          <w:rFonts w:cs="Verdana" w:ascii="Verdana" w:hAnsi="Verdana"/>
          <w:sz w:val="18"/>
          <w:szCs w:val="18"/>
          <w:u w:val="single"/>
          <w:lang w:val="pl-PL" w:eastAsia="zh-CN" w:bidi="ar-SA"/>
        </w:rPr>
        <w:t>Wprowadzenie do sprawozdania finansowego za 2021 rok</w:t>
      </w:r>
    </w:p>
    <w:p>
      <w:pPr>
        <w:pStyle w:val="Tretekstu"/>
        <w:spacing w:lineRule="auto" w:line="312" w:before="0" w:after="57"/>
        <w:rPr>
          <w:sz w:val="18"/>
          <w:szCs w:val="18"/>
        </w:rPr>
      </w:pPr>
      <w:r>
        <w:rPr>
          <w:sz w:val="18"/>
          <w:szCs w:val="18"/>
        </w:rPr>
      </w:r>
    </w:p>
    <w:p>
      <w:pPr>
        <w:pStyle w:val="Normal"/>
        <w:numPr>
          <w:ilvl w:val="0"/>
          <w:numId w:val="1"/>
        </w:numPr>
        <w:tabs>
          <w:tab w:val="clear" w:pos="708"/>
          <w:tab w:val="left" w:pos="851" w:leader="none"/>
        </w:tabs>
        <w:spacing w:lineRule="auto" w:line="312" w:before="0" w:after="57"/>
        <w:ind w:left="720" w:right="0" w:hanging="436"/>
        <w:jc w:val="both"/>
        <w:rPr>
          <w:sz w:val="18"/>
          <w:szCs w:val="18"/>
        </w:rPr>
      </w:pPr>
      <w:r>
        <w:rPr>
          <w:rFonts w:cs="Verdana" w:ascii="Verdana" w:hAnsi="Verdana"/>
          <w:b w:val="false"/>
          <w:bCs w:val="false"/>
          <w:sz w:val="18"/>
          <w:szCs w:val="18"/>
          <w:lang w:val="pl-PL" w:eastAsia="zh-CN" w:bidi="ar-SA"/>
        </w:rPr>
        <w:t>Nazwa jednostki i siedziba: Centrum Innowacji Audiowizualnych w Lubinie, ul. Tysiąclecia 2,                 59-300 Lubin.</w:t>
      </w:r>
    </w:p>
    <w:p>
      <w:pPr>
        <w:pStyle w:val="Normal"/>
        <w:numPr>
          <w:ilvl w:val="0"/>
          <w:numId w:val="1"/>
        </w:numPr>
        <w:tabs>
          <w:tab w:val="clear" w:pos="708"/>
          <w:tab w:val="left" w:pos="851" w:leader="none"/>
        </w:tabs>
        <w:spacing w:lineRule="auto" w:line="312" w:before="0" w:after="57"/>
        <w:ind w:left="720" w:right="0" w:hanging="436"/>
        <w:jc w:val="both"/>
        <w:rPr>
          <w:sz w:val="18"/>
          <w:szCs w:val="18"/>
        </w:rPr>
      </w:pPr>
      <w:r>
        <w:rPr>
          <w:rFonts w:cs="Verdana" w:ascii="Verdana" w:hAnsi="Verdana"/>
          <w:b w:val="false"/>
          <w:bCs w:val="false"/>
          <w:sz w:val="18"/>
          <w:szCs w:val="18"/>
          <w:lang w:val="pl-PL" w:eastAsia="zh-CN" w:bidi="ar-SA"/>
        </w:rPr>
        <w:t>Podstawowy przedmiot działalności: działalność kulturalna.</w:t>
      </w:r>
    </w:p>
    <w:p>
      <w:pPr>
        <w:pStyle w:val="Normal"/>
        <w:numPr>
          <w:ilvl w:val="0"/>
          <w:numId w:val="1"/>
        </w:numPr>
        <w:tabs>
          <w:tab w:val="clear" w:pos="708"/>
          <w:tab w:val="left" w:pos="851" w:leader="none"/>
        </w:tabs>
        <w:spacing w:lineRule="auto" w:line="312" w:before="0" w:after="57"/>
        <w:ind w:left="720" w:right="0" w:hanging="436"/>
        <w:jc w:val="both"/>
        <w:rPr>
          <w:sz w:val="18"/>
          <w:szCs w:val="18"/>
        </w:rPr>
      </w:pPr>
      <w:r>
        <w:rPr>
          <w:rFonts w:cs="Verdana" w:ascii="Verdana" w:hAnsi="Verdana"/>
          <w:b w:val="false"/>
          <w:bCs w:val="false"/>
          <w:sz w:val="18"/>
          <w:szCs w:val="18"/>
          <w:lang w:val="pl-PL" w:eastAsia="zh-CN" w:bidi="ar-SA"/>
        </w:rPr>
        <w:t>Wpis do KRS lub KIR: 10.03.2015 r., wpis do rejestru nr 4.</w:t>
      </w:r>
    </w:p>
    <w:p>
      <w:pPr>
        <w:pStyle w:val="Normal"/>
        <w:numPr>
          <w:ilvl w:val="0"/>
          <w:numId w:val="1"/>
        </w:numPr>
        <w:tabs>
          <w:tab w:val="clear" w:pos="708"/>
          <w:tab w:val="left" w:pos="851" w:leader="none"/>
        </w:tabs>
        <w:spacing w:lineRule="auto" w:line="312" w:before="0" w:after="57"/>
        <w:ind w:left="720" w:right="0" w:hanging="436"/>
        <w:jc w:val="both"/>
        <w:rPr>
          <w:sz w:val="18"/>
          <w:szCs w:val="18"/>
        </w:rPr>
      </w:pPr>
      <w:r>
        <w:rPr>
          <w:rFonts w:cs="Verdana" w:ascii="Verdana" w:hAnsi="Verdana"/>
          <w:b w:val="false"/>
          <w:bCs w:val="false"/>
          <w:sz w:val="18"/>
          <w:szCs w:val="18"/>
          <w:lang w:val="pl-PL" w:eastAsia="zh-CN" w:bidi="ar-SA"/>
        </w:rPr>
        <w:t>Czas działania jednostki: nieograniczony.</w:t>
      </w:r>
    </w:p>
    <w:p>
      <w:pPr>
        <w:pStyle w:val="Normal"/>
        <w:numPr>
          <w:ilvl w:val="0"/>
          <w:numId w:val="1"/>
        </w:numPr>
        <w:tabs>
          <w:tab w:val="clear" w:pos="708"/>
          <w:tab w:val="left" w:pos="851" w:leader="none"/>
        </w:tabs>
        <w:spacing w:lineRule="auto" w:line="312" w:before="0" w:after="57"/>
        <w:ind w:left="720" w:right="0" w:hanging="436"/>
        <w:jc w:val="both"/>
        <w:rPr>
          <w:sz w:val="18"/>
          <w:szCs w:val="18"/>
        </w:rPr>
      </w:pPr>
      <w:r>
        <w:rPr>
          <w:rFonts w:cs="Verdana" w:ascii="Verdana" w:hAnsi="Verdana"/>
          <w:b w:val="false"/>
          <w:bCs w:val="false"/>
          <w:sz w:val="18"/>
          <w:szCs w:val="18"/>
          <w:lang w:val="pl-PL" w:eastAsia="zh-CN" w:bidi="ar-SA"/>
        </w:rPr>
        <w:t>Okres sprawozdawczy: 01.01.2021 r. – 31.12.2021 r.</w:t>
      </w:r>
    </w:p>
    <w:p>
      <w:pPr>
        <w:pStyle w:val="Normal"/>
        <w:numPr>
          <w:ilvl w:val="0"/>
          <w:numId w:val="1"/>
        </w:numPr>
        <w:tabs>
          <w:tab w:val="clear" w:pos="708"/>
          <w:tab w:val="left" w:pos="851" w:leader="none"/>
        </w:tabs>
        <w:spacing w:lineRule="auto" w:line="312" w:before="0" w:after="57"/>
        <w:ind w:left="720" w:right="0" w:hanging="436"/>
        <w:jc w:val="both"/>
        <w:rPr>
          <w:sz w:val="18"/>
          <w:szCs w:val="18"/>
        </w:rPr>
      </w:pPr>
      <w:r>
        <w:rPr>
          <w:rFonts w:cs="Verdana" w:ascii="Verdana" w:hAnsi="Verdana"/>
          <w:b w:val="false"/>
          <w:bCs w:val="false"/>
          <w:sz w:val="18"/>
          <w:szCs w:val="18"/>
          <w:lang w:val="pl-PL" w:eastAsia="zh-CN" w:bidi="ar-SA"/>
        </w:rPr>
        <w:t>Kontynuacja działania: Sprawozdanie finansowe zostało sporządzone przy założeniu kontynuacji działalności przez jednostkę w dającej się przewidzieć przyszłości. Nie istnieją okoliczności wskazujące na zagrożenie kontynuowania działalności.</w:t>
      </w:r>
    </w:p>
    <w:p>
      <w:pPr>
        <w:pStyle w:val="Normal"/>
        <w:numPr>
          <w:ilvl w:val="0"/>
          <w:numId w:val="1"/>
        </w:numPr>
        <w:tabs>
          <w:tab w:val="clear" w:pos="708"/>
          <w:tab w:val="left" w:pos="851" w:leader="none"/>
        </w:tabs>
        <w:spacing w:lineRule="auto" w:line="312" w:before="0" w:after="57"/>
        <w:ind w:left="720" w:right="0" w:hanging="436"/>
        <w:jc w:val="both"/>
        <w:rPr>
          <w:sz w:val="18"/>
          <w:szCs w:val="18"/>
        </w:rPr>
      </w:pPr>
      <w:bookmarkStart w:id="0" w:name="__DdeLink__44_955655563"/>
      <w:bookmarkStart w:id="1" w:name="__DdeLink__39_1943484877"/>
      <w:bookmarkEnd w:id="0"/>
      <w:bookmarkEnd w:id="1"/>
      <w:r>
        <w:rPr>
          <w:rFonts w:cs="Verdana" w:ascii="Verdana" w:hAnsi="Verdana"/>
          <w:b w:val="false"/>
          <w:bCs w:val="false"/>
          <w:sz w:val="18"/>
          <w:szCs w:val="18"/>
          <w:lang w:val="pl-PL" w:eastAsia="zh-CN" w:bidi="ar-SA"/>
        </w:rPr>
        <w:t>Przyjęte zasady rachunkowości przy sporządzaniu sprawozdania finansowego na dzień 31 grudnia 2019 r. są zgodne z Ustawą z dnia 29 września 1994 r. o rachunkowości (tekst jednolity Dz. U.                z 2019 poz. 351 ze zm.) w zakresie, w jakim pozostawia ona jednostce prawo wyboru zasad rachunkowości, zostały zawarte w Zarządzeniu nr 2/2019 z dnia 25.01.2019 r. w sprawie zasad (polityki) rachunkowości przyjętych dla CIA w Lubinie.</w:t>
      </w:r>
    </w:p>
    <w:p>
      <w:pPr>
        <w:pStyle w:val="Normal"/>
        <w:numPr>
          <w:ilvl w:val="0"/>
          <w:numId w:val="0"/>
        </w:numPr>
        <w:tabs>
          <w:tab w:val="clear" w:pos="708"/>
          <w:tab w:val="left" w:pos="851" w:leader="none"/>
        </w:tabs>
        <w:spacing w:lineRule="auto" w:line="312" w:before="0" w:after="57"/>
        <w:ind w:left="720" w:right="0" w:hanging="436"/>
        <w:jc w:val="both"/>
        <w:rPr>
          <w:sz w:val="18"/>
          <w:szCs w:val="18"/>
        </w:rPr>
      </w:pPr>
      <w:r>
        <w:rPr>
          <w:rFonts w:cs="Verdana" w:ascii="Verdana" w:hAnsi="Verdana"/>
          <w:b w:val="false"/>
          <w:bCs w:val="false"/>
          <w:sz w:val="18"/>
          <w:szCs w:val="18"/>
          <w:lang w:val="pl-PL" w:eastAsia="zh-CN" w:bidi="ar-SA"/>
        </w:rPr>
        <w:tab/>
        <w:t>Rokiem obrotowym jest rok kalendarzowy, w ramach którego okresami sprawozdawczymi są poszczególne miesiące.</w:t>
      </w:r>
    </w:p>
    <w:p>
      <w:pPr>
        <w:pStyle w:val="Normal"/>
        <w:numPr>
          <w:ilvl w:val="0"/>
          <w:numId w:val="0"/>
        </w:numPr>
        <w:tabs>
          <w:tab w:val="clear" w:pos="708"/>
          <w:tab w:val="left" w:pos="851" w:leader="none"/>
        </w:tabs>
        <w:spacing w:lineRule="auto" w:line="312" w:before="0" w:after="57"/>
        <w:ind w:left="720" w:right="0" w:hanging="436"/>
        <w:jc w:val="both"/>
        <w:rPr>
          <w:sz w:val="18"/>
          <w:szCs w:val="18"/>
        </w:rPr>
      </w:pPr>
      <w:r>
        <w:rPr>
          <w:rFonts w:cs="Verdana" w:ascii="Verdana" w:hAnsi="Verdana"/>
          <w:b w:val="false"/>
          <w:bCs w:val="false"/>
          <w:sz w:val="18"/>
          <w:szCs w:val="18"/>
          <w:lang w:val="pl-PL" w:eastAsia="zh-CN" w:bidi="ar-SA"/>
        </w:rPr>
        <w:tab/>
      </w:r>
      <w:bookmarkStart w:id="2" w:name="__DdeLink__15396_556437998"/>
      <w:bookmarkEnd w:id="2"/>
      <w:r>
        <w:rPr>
          <w:rFonts w:cs="Verdana" w:ascii="Verdana" w:hAnsi="Verdana"/>
          <w:b w:val="false"/>
          <w:bCs w:val="false"/>
          <w:sz w:val="18"/>
          <w:szCs w:val="18"/>
          <w:lang w:val="pl-PL" w:eastAsia="zh-CN" w:bidi="ar-SA"/>
        </w:rPr>
        <w:t>Księgi rachunkowe prowadzone są techniką komputerową, która spełnia warunki wymagane ustawą o rachunkowości. Księgi rachunkowe prowadzone są w siedzibie Centrum Innowacji Audiowizualnych w Lubinie.</w:t>
      </w:r>
    </w:p>
    <w:p>
      <w:pPr>
        <w:pStyle w:val="Normal"/>
        <w:numPr>
          <w:ilvl w:val="0"/>
          <w:numId w:val="1"/>
        </w:numPr>
        <w:tabs>
          <w:tab w:val="clear" w:pos="708"/>
          <w:tab w:val="left" w:pos="851" w:leader="none"/>
        </w:tabs>
        <w:spacing w:lineRule="auto" w:line="312" w:before="0" w:after="57"/>
        <w:ind w:left="720" w:right="0" w:hanging="436"/>
        <w:jc w:val="both"/>
        <w:rPr>
          <w:sz w:val="18"/>
          <w:szCs w:val="18"/>
        </w:rPr>
      </w:pPr>
      <w:r>
        <w:rPr>
          <w:rFonts w:cs="Verdana" w:ascii="Verdana" w:hAnsi="Verdana"/>
          <w:b w:val="false"/>
          <w:bCs w:val="false"/>
          <w:sz w:val="18"/>
          <w:szCs w:val="18"/>
          <w:lang w:val="pl-PL" w:eastAsia="zh-CN" w:bidi="ar-SA"/>
        </w:rPr>
        <w:t xml:space="preserve">Aktywa i pasywa </w:t>
      </w:r>
      <w:r>
        <w:rPr>
          <w:rFonts w:cs="Verdana" w:ascii="Verdana" w:hAnsi="Verdana"/>
          <w:sz w:val="18"/>
          <w:szCs w:val="18"/>
          <w:lang w:val="pl-PL" w:eastAsia="zh-CN" w:bidi="ar-SA"/>
        </w:rPr>
        <w:t>wyceniono w/g zasad określonych w ustawie o rachunkowości, z tym że:</w:t>
      </w:r>
    </w:p>
    <w:p>
      <w:pPr>
        <w:pStyle w:val="Normal"/>
        <w:spacing w:lineRule="auto" w:line="312" w:before="0" w:after="57"/>
        <w:ind w:left="720" w:right="0" w:hanging="360"/>
        <w:jc w:val="both"/>
        <w:rPr>
          <w:sz w:val="18"/>
          <w:szCs w:val="18"/>
        </w:rPr>
      </w:pPr>
      <w:r>
        <w:rPr>
          <w:rFonts w:cs="Verdana" w:ascii="Verdana" w:hAnsi="Verdana"/>
          <w:sz w:val="18"/>
          <w:szCs w:val="18"/>
          <w:lang w:val="pl-PL" w:eastAsia="zh-CN" w:bidi="ar-SA"/>
        </w:rPr>
        <w:tab/>
        <w:t>a) środki trwałe i wartości niematerialne i prawne - według wartości początkowej, tj. ceny nabycia, pomniejszonej o odpisy umorzeniowe i odpisy z tytułu trwałej utraty wartości.                        W amortyzacji pow. 10.000 zł stosuje się metody i stawki amortyzacji zawarte w załączniku                    do ustawy z 15 lutego 1992 r. o podatku dochodowym od osób prawnych (tekst jednolity Dz. U.               z 2017 poz. 2343 ze zm.), przyjmując liniową metodę amortyzacji. Od 3.500 zł do 10.000 zł odpisywane są jednorazowo w miesiącu wydania do użytkowania oraz ujmowane w ewidencji środków trwałych ilościowo-wartościowej prowadzonej bilansowo w koszty amortyzacji jednorazowej. Od 100 zł do 3.500 zł i okresie użytkowania powyżej roku objęte są ewidencją wartościowo - ilościową wg dokumentów zakupu – pozabilansowo i traktowane są jak materiały,                               tzn. że obciążają one koszty zużycia materiałów (sprzętu).</w:t>
      </w:r>
    </w:p>
    <w:p>
      <w:pPr>
        <w:pStyle w:val="Normal"/>
        <w:spacing w:lineRule="auto" w:line="312" w:before="0" w:after="57"/>
        <w:ind w:left="720" w:right="0" w:hanging="360"/>
        <w:jc w:val="both"/>
        <w:rPr>
          <w:sz w:val="18"/>
          <w:szCs w:val="18"/>
        </w:rPr>
      </w:pPr>
      <w:r>
        <w:rPr>
          <w:rFonts w:cs="Verdana" w:ascii="Verdana" w:hAnsi="Verdana"/>
          <w:sz w:val="18"/>
          <w:szCs w:val="18"/>
          <w:lang w:val="pl-PL" w:eastAsia="zh-CN" w:bidi="ar-SA"/>
        </w:rPr>
        <w:tab/>
        <w:t>b) stany i rozchody materiałów i towarów wycenia się w cenie zakupu wyłączając podatek VAT. Koszty zakupu materiałów i towarów są odpisywane w miesiącu ich poniesienia jeśli służą potrzebom własnym jednostki lub księgowane na konto 330 „Towary” jeśli mają służyć dalszej odsprzedaży.</w:t>
      </w:r>
      <w:r>
        <w:rPr>
          <w:rFonts w:eastAsia="Verdana" w:cs="Verdana" w:ascii="Verdana" w:hAnsi="Verdana"/>
          <w:sz w:val="18"/>
          <w:szCs w:val="18"/>
          <w:lang w:val="pl-PL" w:eastAsia="zh-CN" w:bidi="ar-SA"/>
        </w:rPr>
        <w:t xml:space="preserve"> Ewidencję i rozliczanie kosztów prowadzi się według rodzajów na kontach zespołu              4 i 6.</w:t>
      </w:r>
    </w:p>
    <w:p>
      <w:pPr>
        <w:pStyle w:val="Normal"/>
        <w:spacing w:lineRule="auto" w:line="312" w:before="0" w:after="57"/>
        <w:ind w:left="720" w:right="0" w:hanging="360"/>
        <w:jc w:val="both"/>
        <w:rPr>
          <w:sz w:val="18"/>
          <w:szCs w:val="18"/>
        </w:rPr>
      </w:pPr>
      <w:r>
        <w:rPr>
          <w:rFonts w:eastAsia="Verdana" w:cs="Verdana" w:ascii="Verdana" w:hAnsi="Verdana"/>
          <w:sz w:val="18"/>
          <w:szCs w:val="18"/>
          <w:lang w:val="pl-PL" w:eastAsia="zh-CN" w:bidi="ar-SA"/>
        </w:rPr>
        <w:tab/>
        <w:t>c) należności i zobowiązania – w kwocie wymaganej zapłaty.</w:t>
      </w:r>
    </w:p>
    <w:p>
      <w:pPr>
        <w:pStyle w:val="Normal"/>
        <w:spacing w:lineRule="auto" w:line="312" w:before="0" w:after="57"/>
        <w:ind w:left="720" w:right="0" w:hanging="360"/>
        <w:jc w:val="both"/>
        <w:rPr>
          <w:sz w:val="18"/>
          <w:szCs w:val="18"/>
        </w:rPr>
      </w:pPr>
      <w:r>
        <w:rPr>
          <w:rFonts w:eastAsia="Verdana" w:cs="Verdana" w:ascii="Verdana" w:hAnsi="Verdana"/>
          <w:sz w:val="18"/>
          <w:szCs w:val="18"/>
          <w:lang w:val="pl-PL" w:eastAsia="zh-CN" w:bidi="ar-SA"/>
        </w:rPr>
        <w:tab/>
        <w:t>d) fundusz instytucji oraz środki pieniężne – w wartości nominalnej.</w:t>
      </w:r>
    </w:p>
    <w:p>
      <w:pPr>
        <w:pStyle w:val="Normal"/>
        <w:spacing w:lineRule="auto" w:line="312" w:before="0" w:after="57"/>
        <w:ind w:left="720" w:right="0" w:hanging="360"/>
        <w:jc w:val="both"/>
        <w:rPr>
          <w:sz w:val="18"/>
          <w:szCs w:val="18"/>
        </w:rPr>
      </w:pPr>
      <w:r>
        <w:rPr>
          <w:rFonts w:cs="Verdana" w:ascii="Verdana" w:hAnsi="Verdana"/>
          <w:sz w:val="18"/>
          <w:szCs w:val="18"/>
          <w:lang w:val="pl-PL" w:eastAsia="zh-CN" w:bidi="ar-SA"/>
        </w:rPr>
        <w:t>9.</w:t>
        <w:tab/>
        <w:t>Rachunek zysków i strat jest sporządzany w wersji porównawczej.</w:t>
      </w:r>
    </w:p>
    <w:p>
      <w:pPr>
        <w:pStyle w:val="Normal"/>
        <w:tabs>
          <w:tab w:val="clear" w:pos="708"/>
          <w:tab w:val="left" w:pos="720" w:leader="none"/>
        </w:tabs>
        <w:spacing w:lineRule="auto" w:line="312" w:before="0" w:after="57"/>
        <w:ind w:left="360" w:right="0" w:hanging="360"/>
        <w:jc w:val="both"/>
        <w:rPr>
          <w:rFonts w:ascii="Verdana" w:hAnsi="Verdana" w:cs="Verdana"/>
          <w:sz w:val="18"/>
          <w:szCs w:val="18"/>
          <w:lang w:val="pl-PL" w:eastAsia="zh-CN" w:bidi="ar-SA"/>
        </w:rPr>
      </w:pPr>
      <w:r>
        <w:rPr>
          <w:rFonts w:cs="Verdana" w:ascii="Verdana" w:hAnsi="Verdana"/>
          <w:sz w:val="18"/>
          <w:szCs w:val="18"/>
          <w:lang w:val="pl-PL" w:eastAsia="zh-CN" w:bidi="ar-SA"/>
        </w:rPr>
      </w:r>
    </w:p>
    <w:p>
      <w:pPr>
        <w:pStyle w:val="Normal"/>
        <w:tabs>
          <w:tab w:val="clear" w:pos="708"/>
          <w:tab w:val="left" w:pos="720" w:leader="none"/>
        </w:tabs>
        <w:spacing w:lineRule="auto" w:line="312" w:before="0" w:after="57"/>
        <w:ind w:right="0" w:hanging="0"/>
        <w:jc w:val="both"/>
        <w:rPr>
          <w:rFonts w:ascii="Verdana" w:hAnsi="Verdana" w:cs="Verdana"/>
          <w:sz w:val="18"/>
          <w:szCs w:val="18"/>
          <w:lang w:val="pl-PL" w:eastAsia="zh-CN" w:bidi="ar-SA"/>
        </w:rPr>
      </w:pPr>
      <w:r>
        <w:rPr>
          <w:rFonts w:cs="Verdana" w:ascii="Verdana" w:hAnsi="Verdana"/>
          <w:sz w:val="18"/>
          <w:szCs w:val="18"/>
          <w:lang w:val="pl-PL" w:eastAsia="zh-CN" w:bidi="ar-SA"/>
        </w:rPr>
        <w:tab/>
      </w:r>
      <w:r>
        <w:rPr>
          <w:rFonts w:cs="Verdana" w:ascii="Verdana" w:hAnsi="Verdana"/>
          <w:sz w:val="18"/>
          <w:szCs w:val="18"/>
          <w:lang w:val="pl-PL" w:eastAsia="zh-CN" w:bidi="ar-SA"/>
        </w:rPr>
        <w:t>M</w:t>
      </w:r>
      <w:r>
        <w:rPr>
          <w:rFonts w:cs="Verdana" w:ascii="Verdana" w:hAnsi="Verdana"/>
          <w:sz w:val="18"/>
          <w:szCs w:val="18"/>
          <w:lang w:val="pl-PL" w:eastAsia="zh-CN" w:bidi="ar-SA"/>
        </w:rPr>
        <w:t xml:space="preserve">iejsce, </w:t>
      </w:r>
      <w:r>
        <w:rPr>
          <w:rFonts w:cs="Verdana" w:ascii="Verdana" w:hAnsi="Verdana"/>
          <w:sz w:val="18"/>
          <w:szCs w:val="18"/>
          <w:lang w:val="pl-PL" w:eastAsia="zh-CN" w:bidi="ar-SA"/>
        </w:rPr>
        <w:t xml:space="preserve">data </w:t>
      </w:r>
      <w:r>
        <w:rPr>
          <w:rFonts w:cs="Verdana" w:ascii="Verdana" w:hAnsi="Verdana"/>
          <w:sz w:val="18"/>
          <w:szCs w:val="18"/>
          <w:lang w:val="pl-PL" w:eastAsia="zh-CN" w:bidi="ar-SA"/>
        </w:rPr>
        <w:t xml:space="preserve">porzadzenia: </w:t>
      </w:r>
      <w:r>
        <w:rPr>
          <w:rFonts w:cs="Verdana" w:ascii="Verdana" w:hAnsi="Verdana"/>
          <w:b/>
          <w:bCs/>
          <w:sz w:val="18"/>
          <w:szCs w:val="18"/>
          <w:lang w:val="pl-PL" w:eastAsia="zh-CN" w:bidi="ar-SA"/>
        </w:rPr>
        <w:t>Lubin, 18.03.2022 r.</w:t>
      </w:r>
    </w:p>
    <w:p>
      <w:pPr>
        <w:pStyle w:val="Normal"/>
        <w:spacing w:lineRule="auto" w:line="312" w:before="0" w:after="57"/>
        <w:ind w:left="709" w:right="0" w:hanging="0"/>
        <w:rPr>
          <w:b/>
          <w:b/>
          <w:bCs/>
          <w:sz w:val="18"/>
          <w:szCs w:val="18"/>
        </w:rPr>
      </w:pPr>
      <w:r>
        <w:rPr/>
      </w:r>
    </w:p>
    <w:p>
      <w:pPr>
        <w:pStyle w:val="Normal"/>
        <w:spacing w:lineRule="auto" w:line="312" w:before="0" w:after="57"/>
        <w:ind w:left="709" w:right="0" w:hanging="0"/>
        <w:rPr>
          <w:b/>
          <w:b/>
          <w:bCs/>
          <w:sz w:val="18"/>
          <w:szCs w:val="18"/>
        </w:rPr>
      </w:pPr>
      <w:r>
        <w:rPr>
          <w:rFonts w:eastAsia="Times New Roman" w:cs="Verdana" w:ascii="Verdana" w:hAnsi="Verdana"/>
          <w:b w:val="false"/>
          <w:bCs w:val="false"/>
          <w:color w:val="00000A"/>
          <w:kern w:val="0"/>
          <w:sz w:val="18"/>
          <w:szCs w:val="18"/>
          <w:lang w:val="pl-PL" w:eastAsia="zh-CN" w:bidi="ar-SA"/>
        </w:rPr>
        <w:t>Sporządził:</w:t>
      </w:r>
      <w:r>
        <w:rPr>
          <w:rFonts w:eastAsia="Times New Roman" w:cs="Verdana" w:ascii="Verdana" w:hAnsi="Verdana"/>
          <w:b/>
          <w:bCs/>
          <w:color w:val="00000A"/>
          <w:kern w:val="0"/>
          <w:sz w:val="18"/>
          <w:szCs w:val="18"/>
          <w:lang w:val="pl-PL" w:eastAsia="zh-CN" w:bidi="ar-SA"/>
        </w:rPr>
        <w:tab/>
        <w:tab/>
        <w:tab/>
        <w:tab/>
        <w:tab/>
        <w:tab/>
        <w:tab/>
      </w:r>
      <w:r>
        <w:rPr>
          <w:rFonts w:eastAsia="Times New Roman" w:cs="Verdana" w:ascii="Verdana" w:hAnsi="Verdana"/>
          <w:b w:val="false"/>
          <w:bCs w:val="false"/>
          <w:color w:val="00000A"/>
          <w:kern w:val="0"/>
          <w:sz w:val="18"/>
          <w:szCs w:val="18"/>
          <w:lang w:val="pl-PL" w:eastAsia="zh-CN" w:bidi="ar-SA"/>
        </w:rPr>
        <w:t>Zatwierdził:</w:t>
      </w:r>
    </w:p>
    <w:p>
      <w:pPr>
        <w:pStyle w:val="Normal"/>
        <w:spacing w:lineRule="auto" w:line="312" w:before="0" w:after="0"/>
        <w:ind w:left="709" w:right="0" w:hanging="0"/>
        <w:rPr>
          <w:b/>
          <w:b/>
          <w:bCs/>
          <w:sz w:val="18"/>
          <w:szCs w:val="18"/>
        </w:rPr>
      </w:pPr>
      <w:r>
        <w:rPr>
          <w:rFonts w:eastAsia="Times New Roman" w:cs="Verdana" w:ascii="Verdana" w:hAnsi="Verdana"/>
          <w:b/>
          <w:bCs/>
          <w:color w:val="00000A"/>
          <w:kern w:val="0"/>
          <w:sz w:val="18"/>
          <w:szCs w:val="18"/>
          <w:lang w:val="pl-PL" w:eastAsia="zh-CN" w:bidi="ar-SA"/>
        </w:rPr>
        <w:t>Główna Księgowa</w:t>
        <w:tab/>
        <w:tab/>
        <w:tab/>
        <w:tab/>
        <w:tab/>
        <w:tab/>
        <w:t>Dyrektor</w:t>
      </w:r>
    </w:p>
    <w:p>
      <w:pPr>
        <w:pStyle w:val="Normal"/>
        <w:spacing w:lineRule="auto" w:line="312" w:before="0" w:after="0"/>
        <w:ind w:left="709" w:right="0" w:hanging="0"/>
        <w:rPr>
          <w:sz w:val="18"/>
          <w:szCs w:val="18"/>
        </w:rPr>
      </w:pPr>
      <w:r>
        <w:rPr>
          <w:rFonts w:eastAsia="Times New Roman" w:cs="Verdana" w:ascii="Verdana" w:hAnsi="Verdana"/>
          <w:b/>
          <w:bCs/>
          <w:color w:val="00000A"/>
          <w:kern w:val="0"/>
          <w:sz w:val="18"/>
          <w:szCs w:val="18"/>
          <w:lang w:val="pl-PL" w:eastAsia="zh-CN" w:bidi="ar-SA"/>
        </w:rPr>
        <w:t>Justyna Starybrat</w:t>
        <w:tab/>
        <w:tab/>
        <w:tab/>
        <w:tab/>
        <w:tab/>
        <w:tab/>
        <w:t>Konrad Dąbkiewicz</w:t>
      </w:r>
    </w:p>
    <w:sectPr>
      <w:type w:val="nextPage"/>
      <w:pgSz w:w="11906" w:h="16838"/>
      <w:pgMar w:left="1134" w:right="1134" w:header="0" w:top="1134" w:footer="0" w:bottom="1134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Times New Roman">
    <w:charset w:val="ee"/>
    <w:family w:val="roman"/>
    <w:pitch w:val="variable"/>
  </w:font>
  <w:font w:name="Verdana">
    <w:charset w:val="ee"/>
    <w:family w:val="roman"/>
    <w:pitch w:val="variable"/>
  </w:font>
  <w:font w:name="Courier New">
    <w:charset w:val="ee"/>
    <w:family w:val="roman"/>
    <w:pitch w:val="variable"/>
  </w:font>
  <w:font w:name="Wingdings">
    <w:charset w:val="ee"/>
    <w:family w:val="roman"/>
    <w:pitch w:val="variable"/>
  </w:font>
  <w:font w:name="Liberation Sans">
    <w:altName w:val="Arial"/>
    <w:charset w:val="ee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708"/>
        </w:tabs>
        <w:ind w:left="720" w:hanging="360"/>
      </w:pPr>
      <w:rPr>
        <w:sz w:val="18"/>
        <w:b w:val="false"/>
        <w:szCs w:val="18"/>
        <w:bCs w:val="false"/>
        <w:rFonts w:ascii="Verdana" w:hAnsi="Verdana" w:cs="Verdana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sz w:val="18"/>
        <w:b w:val="false"/>
        <w:szCs w:val="18"/>
        <w:bCs w:val="false"/>
        <w:rFonts w:ascii="Verdana" w:hAnsi="Verdana" w:cs="Verdana"/>
      </w:rPr>
    </w:lvl>
    <w:lvl w:ilvl="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sz w:val="18"/>
        <w:b w:val="false"/>
        <w:szCs w:val="18"/>
        <w:bCs w:val="false"/>
        <w:rFonts w:ascii="Verdana" w:hAnsi="Verdana" w:cs="Verdana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68"/>
  <w:defaultTabStop w:val="708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SimSun" w:cs="Arial"/>
        <w:szCs w:val="24"/>
        <w:lang w:val="pl-PL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00000A"/>
      <w:kern w:val="0"/>
      <w:sz w:val="24"/>
      <w:szCs w:val="24"/>
      <w:lang w:val="pl-PL" w:eastAsia="zh-CN" w:bidi="ar-SA"/>
    </w:rPr>
  </w:style>
  <w:style w:type="character" w:styleId="WW8Num1z0">
    <w:name w:val="WW8Num1z0"/>
    <w:qFormat/>
    <w:rPr/>
  </w:style>
  <w:style w:type="character" w:styleId="WW8Num1z1">
    <w:name w:val="WW8Num1z1"/>
    <w:qFormat/>
    <w:rPr/>
  </w:style>
  <w:style w:type="character" w:styleId="WW8Num1z2">
    <w:name w:val="WW8Num1z2"/>
    <w:qFormat/>
    <w:rPr/>
  </w:style>
  <w:style w:type="character" w:styleId="WW8Num1z3">
    <w:name w:val="WW8Num1z3"/>
    <w:qFormat/>
    <w:rPr/>
  </w:style>
  <w:style w:type="character" w:styleId="WW8Num1z4">
    <w:name w:val="WW8Num1z4"/>
    <w:qFormat/>
    <w:rPr/>
  </w:style>
  <w:style w:type="character" w:styleId="WW8Num1z5">
    <w:name w:val="WW8Num1z5"/>
    <w:qFormat/>
    <w:rPr/>
  </w:style>
  <w:style w:type="character" w:styleId="WW8Num1z6">
    <w:name w:val="WW8Num1z6"/>
    <w:qFormat/>
    <w:rPr/>
  </w:style>
  <w:style w:type="character" w:styleId="WW8Num1z7">
    <w:name w:val="WW8Num1z7"/>
    <w:qFormat/>
    <w:rPr/>
  </w:style>
  <w:style w:type="character" w:styleId="WW8Num1z8">
    <w:name w:val="WW8Num1z8"/>
    <w:qFormat/>
    <w:rPr/>
  </w:style>
  <w:style w:type="character" w:styleId="WW8Num2z0">
    <w:name w:val="WW8Num2z0"/>
    <w:qFormat/>
    <w:rPr>
      <w:rFonts w:ascii="Verdana" w:hAnsi="Verdana" w:cs="Verdana"/>
      <w:b w:val="false"/>
      <w:bCs w:val="false"/>
      <w:sz w:val="18"/>
      <w:szCs w:val="18"/>
    </w:rPr>
  </w:style>
  <w:style w:type="character" w:styleId="WW8Num2z3">
    <w:name w:val="WW8Num2z3"/>
    <w:qFormat/>
    <w:rPr/>
  </w:style>
  <w:style w:type="character" w:styleId="WW8Num2z4">
    <w:name w:val="WW8Num2z4"/>
    <w:qFormat/>
    <w:rPr/>
  </w:style>
  <w:style w:type="character" w:styleId="WW8Num2z5">
    <w:name w:val="WW8Num2z5"/>
    <w:qFormat/>
    <w:rPr/>
  </w:style>
  <w:style w:type="character" w:styleId="WW8Num2z6">
    <w:name w:val="WW8Num2z6"/>
    <w:qFormat/>
    <w:rPr/>
  </w:style>
  <w:style w:type="character" w:styleId="WW8Num2z7">
    <w:name w:val="WW8Num2z7"/>
    <w:qFormat/>
    <w:rPr/>
  </w:style>
  <w:style w:type="character" w:styleId="WW8Num2z8">
    <w:name w:val="WW8Num2z8"/>
    <w:qFormat/>
    <w:rPr/>
  </w:style>
  <w:style w:type="character" w:styleId="WW8Num3z0">
    <w:name w:val="WW8Num3z0"/>
    <w:qFormat/>
    <w:rPr>
      <w:rFonts w:ascii="Verdana" w:hAnsi="Verdana" w:cs="Verdana"/>
      <w:b w:val="false"/>
      <w:bCs w:val="false"/>
      <w:sz w:val="18"/>
      <w:szCs w:val="18"/>
    </w:rPr>
  </w:style>
  <w:style w:type="character" w:styleId="WW8Num3z3">
    <w:name w:val="WW8Num3z3"/>
    <w:qFormat/>
    <w:rPr/>
  </w:style>
  <w:style w:type="character" w:styleId="WW8Num3z4">
    <w:name w:val="WW8Num3z4"/>
    <w:qFormat/>
    <w:rPr/>
  </w:style>
  <w:style w:type="character" w:styleId="WW8Num3z5">
    <w:name w:val="WW8Num3z5"/>
    <w:qFormat/>
    <w:rPr/>
  </w:style>
  <w:style w:type="character" w:styleId="WW8Num3z6">
    <w:name w:val="WW8Num3z6"/>
    <w:qFormat/>
    <w:rPr/>
  </w:style>
  <w:style w:type="character" w:styleId="WW8Num3z7">
    <w:name w:val="WW8Num3z7"/>
    <w:qFormat/>
    <w:rPr/>
  </w:style>
  <w:style w:type="character" w:styleId="WW8Num3z8">
    <w:name w:val="WW8Num3z8"/>
    <w:qFormat/>
    <w:rPr/>
  </w:style>
  <w:style w:type="character" w:styleId="WW8Num4z0">
    <w:name w:val="WW8Num4z0"/>
    <w:qFormat/>
    <w:rPr>
      <w:rFonts w:ascii="Verdana" w:hAnsi="Verdana" w:cs="Verdana"/>
      <w:b w:val="false"/>
      <w:bCs w:val="false"/>
      <w:sz w:val="20"/>
      <w:szCs w:val="20"/>
    </w:rPr>
  </w:style>
  <w:style w:type="character" w:styleId="WW8Num4z3">
    <w:name w:val="WW8Num4z3"/>
    <w:qFormat/>
    <w:rPr/>
  </w:style>
  <w:style w:type="character" w:styleId="WW8Num4z4">
    <w:name w:val="WW8Num4z4"/>
    <w:qFormat/>
    <w:rPr/>
  </w:style>
  <w:style w:type="character" w:styleId="WW8Num4z5">
    <w:name w:val="WW8Num4z5"/>
    <w:qFormat/>
    <w:rPr/>
  </w:style>
  <w:style w:type="character" w:styleId="WW8Num4z6">
    <w:name w:val="WW8Num4z6"/>
    <w:qFormat/>
    <w:rPr/>
  </w:style>
  <w:style w:type="character" w:styleId="WW8Num4z7">
    <w:name w:val="WW8Num4z7"/>
    <w:qFormat/>
    <w:rPr/>
  </w:style>
  <w:style w:type="character" w:styleId="WW8Num4z8">
    <w:name w:val="WW8Num4z8"/>
    <w:qFormat/>
    <w:rPr/>
  </w:style>
  <w:style w:type="character" w:styleId="WW8Num4z1">
    <w:name w:val="WW8Num4z1"/>
    <w:qFormat/>
    <w:rPr>
      <w:rFonts w:ascii="Courier New" w:hAnsi="Courier New" w:cs="Courier New"/>
    </w:rPr>
  </w:style>
  <w:style w:type="character" w:styleId="WW8Num4z2">
    <w:name w:val="WW8Num4z2"/>
    <w:qFormat/>
    <w:rPr>
      <w:rFonts w:ascii="Wingdings" w:hAnsi="Wingdings" w:cs="Wingdings"/>
    </w:rPr>
  </w:style>
  <w:style w:type="character" w:styleId="WW8Num5z0">
    <w:name w:val="WW8Num5z0"/>
    <w:qFormat/>
    <w:rPr>
      <w:rFonts w:ascii="Verdana" w:hAnsi="Verdana" w:cs="Verdana"/>
      <w:sz w:val="20"/>
      <w:szCs w:val="20"/>
    </w:rPr>
  </w:style>
  <w:style w:type="character" w:styleId="WW8Num5z1">
    <w:name w:val="WW8Num5z1"/>
    <w:qFormat/>
    <w:rPr/>
  </w:style>
  <w:style w:type="character" w:styleId="WW8Num5z2">
    <w:name w:val="WW8Num5z2"/>
    <w:qFormat/>
    <w:rPr/>
  </w:style>
  <w:style w:type="character" w:styleId="WW8Num5z3">
    <w:name w:val="WW8Num5z3"/>
    <w:qFormat/>
    <w:rPr/>
  </w:style>
  <w:style w:type="character" w:styleId="WW8Num5z4">
    <w:name w:val="WW8Num5z4"/>
    <w:qFormat/>
    <w:rPr/>
  </w:style>
  <w:style w:type="character" w:styleId="WW8Num5z5">
    <w:name w:val="WW8Num5z5"/>
    <w:qFormat/>
    <w:rPr/>
  </w:style>
  <w:style w:type="character" w:styleId="WW8Num5z6">
    <w:name w:val="WW8Num5z6"/>
    <w:qFormat/>
    <w:rPr/>
  </w:style>
  <w:style w:type="character" w:styleId="WW8Num5z7">
    <w:name w:val="WW8Num5z7"/>
    <w:qFormat/>
    <w:rPr/>
  </w:style>
  <w:style w:type="character" w:styleId="WW8Num5z8">
    <w:name w:val="WW8Num5z8"/>
    <w:qFormat/>
    <w:rPr/>
  </w:style>
  <w:style w:type="character" w:styleId="Domylnaczcionkaakapitu">
    <w:name w:val="Domyślna czcionka akapitu"/>
    <w:qFormat/>
    <w:rPr/>
  </w:style>
  <w:style w:type="character" w:styleId="NagwekZnak">
    <w:name w:val="Nagłówek Znak"/>
    <w:qFormat/>
    <w:rPr>
      <w:sz w:val="24"/>
      <w:szCs w:val="24"/>
    </w:rPr>
  </w:style>
  <w:style w:type="character" w:styleId="StopkaZnak">
    <w:name w:val="Stopka Znak"/>
    <w:qFormat/>
    <w:rPr>
      <w:sz w:val="24"/>
      <w:szCs w:val="24"/>
    </w:rPr>
  </w:style>
  <w:style w:type="character" w:styleId="Znakinumeracji">
    <w:name w:val="Znaki numeracji"/>
    <w:qFormat/>
    <w:rPr/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;Arial" w:hAnsi="Liberation Sans;Arial" w:eastAsia="Microsoft YaHei" w:cs="Arial"/>
      <w:sz w:val="28"/>
      <w:szCs w:val="28"/>
    </w:rPr>
  </w:style>
  <w:style w:type="paragraph" w:styleId="Tretekstu">
    <w:name w:val="Body Text"/>
    <w:basedOn w:val="Normal"/>
    <w:pPr>
      <w:jc w:val="center"/>
    </w:pPr>
    <w:rPr>
      <w:b/>
      <w:bCs/>
      <w:sz w:val="32"/>
    </w:rPr>
  </w:style>
  <w:style w:type="paragraph" w:styleId="Lista">
    <w:name w:val="List"/>
    <w:basedOn w:val="Tretekstu"/>
    <w:pPr/>
    <w:rPr>
      <w:rFonts w:cs="Arial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</w:rPr>
  </w:style>
  <w:style w:type="paragraph" w:styleId="Gwkaistopka">
    <w:name w:val="Główka i stopka"/>
    <w:basedOn w:val="Normal"/>
    <w:qFormat/>
    <w:pPr/>
    <w:rPr/>
  </w:style>
  <w:style w:type="paragraph" w:styleId="Gwka">
    <w:name w:val="Header"/>
    <w:basedOn w:val="Normal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Stopka">
    <w:name w:val="Footer"/>
    <w:basedOn w:val="Normal"/>
    <w:pPr>
      <w:tabs>
        <w:tab w:val="clear" w:pos="708"/>
        <w:tab w:val="center" w:pos="4536" w:leader="none"/>
        <w:tab w:val="right" w:pos="9072" w:leader="none"/>
      </w:tabs>
    </w:pPr>
    <w:rPr/>
  </w:style>
  <w:style w:type="numbering" w:styleId="WW8Num1">
    <w:name w:val="WW8Num1"/>
    <w:qFormat/>
  </w:style>
  <w:style w:type="numbering" w:styleId="WW8Num2">
    <w:name w:val="WW8Num2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291</TotalTime>
  <Application>LibreOffice/7.1.2.2$Windows_X86_64 LibreOffice_project/8a45595d069ef5570103caea1b71cc9d82b2aae4</Application>
  <AppVersion>15.0000</AppVersion>
  <Pages>1</Pages>
  <Words>424</Words>
  <Characters>2580</Characters>
  <CharactersWithSpaces>3133</CharactersWithSpaces>
  <Paragraphs>20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2003-01-13T21:49:00Z</dcterms:created>
  <dc:creator>Urszula Pietrzak</dc:creator>
  <dc:description/>
  <dc:language>pl-PL</dc:language>
  <cp:lastModifiedBy/>
  <cp:lastPrinted>2021-03-23T11:43:32Z</cp:lastPrinted>
  <dcterms:modified xsi:type="dcterms:W3CDTF">2022-06-23T11:04:13Z</dcterms:modified>
  <cp:revision>81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